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2D0FF9" w:rsidRDefault="00F95EF5" w:rsidP="00F95EF5">
      <w:pPr>
        <w:ind w:left="5103" w:firstLine="708"/>
        <w:jc w:val="center"/>
        <w:rPr>
          <w:lang w:val="en-US"/>
        </w:rPr>
      </w:pPr>
      <w:r w:rsidRPr="00375127">
        <w:t xml:space="preserve">Додаток </w:t>
      </w:r>
      <w:r w:rsidR="002D0FF9">
        <w:rPr>
          <w:lang w:val="en-US"/>
        </w:rPr>
        <w:t>8</w:t>
      </w:r>
      <w:r w:rsidR="00A57B88">
        <w:rPr>
          <w:lang w:val="en-US"/>
        </w:rPr>
        <w:t>1</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103638" w:rsidRPr="00375127" w:rsidRDefault="00F95EF5" w:rsidP="00103638">
      <w:pPr>
        <w:ind w:left="5670"/>
        <w:jc w:val="center"/>
        <w:rPr>
          <w:vanish/>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103638" w:rsidRPr="00375127" w:rsidRDefault="00103638" w:rsidP="00103638">
      <w:pPr>
        <w:rPr>
          <w:vanish/>
        </w:rPr>
      </w:pPr>
    </w:p>
    <w:p w:rsidR="002D0FF9" w:rsidRPr="004F0492" w:rsidRDefault="002D0FF9" w:rsidP="002D0FF9">
      <w:pPr>
        <w:jc w:val="center"/>
        <w:rPr>
          <w:lang w:val="uk-UA"/>
        </w:rPr>
      </w:pPr>
    </w:p>
    <w:p w:rsidR="00397550" w:rsidRPr="00375127" w:rsidRDefault="00397550" w:rsidP="00397550">
      <w:pPr>
        <w:ind w:left="2832" w:firstLine="708"/>
        <w:jc w:val="right"/>
        <w:rPr>
          <w:bCs/>
          <w:vanish/>
        </w:rPr>
      </w:pPr>
      <w:r w:rsidRPr="00375127">
        <w:rPr>
          <w:bCs/>
        </w:rPr>
        <w:t xml:space="preserve">      </w:t>
      </w: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397550" w:rsidRPr="00375127" w:rsidRDefault="00397550" w:rsidP="00397550">
      <w:pPr>
        <w:jc w:val="right"/>
        <w:rPr>
          <w:bCs/>
          <w:vanish/>
        </w:rPr>
      </w:pPr>
    </w:p>
    <w:p w:rsidR="00A57B88" w:rsidRPr="004F0492" w:rsidRDefault="00397550" w:rsidP="00A57B88">
      <w:pPr>
        <w:jc w:val="center"/>
        <w:rPr>
          <w:lang w:val="uk-UA"/>
        </w:rPr>
      </w:pPr>
      <w:r w:rsidRPr="00375127">
        <w:rPr>
          <w:bCs/>
        </w:rPr>
        <w:t xml:space="preserve">                  </w:t>
      </w:r>
      <w:r w:rsidRPr="00375127">
        <w:rPr>
          <w:bCs/>
        </w:rPr>
        <w:tab/>
      </w:r>
      <w:r w:rsidRPr="00375127">
        <w:rPr>
          <w:bCs/>
        </w:rPr>
        <w:tab/>
      </w: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jc w:val="cente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jc w:val="cente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p w:rsidR="00A57B88" w:rsidRPr="00375127" w:rsidRDefault="00A57B88" w:rsidP="00A57B88">
      <w:pPr>
        <w:rPr>
          <w:vanish/>
        </w:rPr>
      </w:pPr>
    </w:p>
    <w:tbl>
      <w:tblPr>
        <w:tblpPr w:leftFromText="180" w:rightFromText="180" w:bottomFromText="160" w:vertAnchor="text" w:tblpY="209"/>
        <w:tblW w:w="9606" w:type="dxa"/>
        <w:tblLayout w:type="fixed"/>
        <w:tblLook w:val="04A0" w:firstRow="1" w:lastRow="0" w:firstColumn="1" w:lastColumn="0" w:noHBand="0" w:noVBand="1"/>
      </w:tblPr>
      <w:tblGrid>
        <w:gridCol w:w="2270"/>
        <w:gridCol w:w="5406"/>
        <w:gridCol w:w="1930"/>
      </w:tblGrid>
      <w:tr w:rsidR="00A57B8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A57B88" w:rsidRPr="00375127" w:rsidRDefault="00A57B88" w:rsidP="002A5CB5">
            <w:pPr>
              <w:snapToGrid w:val="0"/>
              <w:spacing w:line="256" w:lineRule="auto"/>
              <w:jc w:val="center"/>
              <w:rPr>
                <w:b/>
              </w:rPr>
            </w:pPr>
            <w:r w:rsidRPr="00375127">
              <w:rPr>
                <w:noProof/>
              </w:rPr>
              <w:drawing>
                <wp:inline distT="0" distB="0" distL="0" distR="0">
                  <wp:extent cx="1257300"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581150"/>
                          </a:xfrm>
                          <a:prstGeom prst="rect">
                            <a:avLst/>
                          </a:prstGeom>
                          <a:noFill/>
                          <a:ln>
                            <a:noFill/>
                          </a:ln>
                        </pic:spPr>
                      </pic:pic>
                    </a:graphicData>
                  </a:graphic>
                </wp:inline>
              </w:drawing>
            </w:r>
          </w:p>
        </w:tc>
        <w:tc>
          <w:tcPr>
            <w:tcW w:w="7336" w:type="dxa"/>
            <w:gridSpan w:val="2"/>
            <w:tcBorders>
              <w:top w:val="single" w:sz="4" w:space="0" w:color="000000"/>
              <w:left w:val="single" w:sz="4" w:space="0" w:color="000000"/>
              <w:bottom w:val="single" w:sz="4" w:space="0" w:color="000000"/>
              <w:right w:val="single" w:sz="4" w:space="0" w:color="000000"/>
            </w:tcBorders>
            <w:vAlign w:val="center"/>
            <w:hideMark/>
          </w:tcPr>
          <w:p w:rsidR="00A57B88" w:rsidRPr="00375127" w:rsidRDefault="00A57B88" w:rsidP="002A5CB5">
            <w:pPr>
              <w:autoSpaceDE w:val="0"/>
              <w:snapToGrid w:val="0"/>
              <w:spacing w:line="256" w:lineRule="auto"/>
              <w:jc w:val="center"/>
              <w:rPr>
                <w:b/>
              </w:rPr>
            </w:pPr>
            <w:r w:rsidRPr="00375127">
              <w:rPr>
                <w:b/>
              </w:rPr>
              <w:t>МИРГОРОДСЬКА МІСЬКА РАДА</w:t>
            </w:r>
          </w:p>
          <w:p w:rsidR="00A57B88" w:rsidRPr="00375127" w:rsidRDefault="00A57B88" w:rsidP="002A5CB5">
            <w:pPr>
              <w:autoSpaceDE w:val="0"/>
              <w:spacing w:line="256" w:lineRule="auto"/>
              <w:jc w:val="center"/>
              <w:rPr>
                <w:b/>
              </w:rPr>
            </w:pPr>
            <w:r w:rsidRPr="00375127">
              <w:rPr>
                <w:b/>
              </w:rPr>
              <w:t>ВИКОНАВЧИЙ КОМІТЕТ</w:t>
            </w:r>
          </w:p>
        </w:tc>
      </w:tr>
      <w:tr w:rsidR="00A57B8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A57B88" w:rsidRPr="00375127" w:rsidRDefault="00A57B88" w:rsidP="002A5CB5">
            <w:pPr>
              <w:spacing w:line="256" w:lineRule="auto"/>
              <w:rPr>
                <w:b/>
              </w:rPr>
            </w:pPr>
          </w:p>
        </w:tc>
        <w:tc>
          <w:tcPr>
            <w:tcW w:w="5406"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56" w:lineRule="auto"/>
              <w:jc w:val="center"/>
              <w:rPr>
                <w:b/>
              </w:rPr>
            </w:pPr>
            <w:r w:rsidRPr="00375127">
              <w:rPr>
                <w:b/>
              </w:rPr>
              <w:t>Інформаційна карта</w:t>
            </w:r>
          </w:p>
          <w:p w:rsidR="00A57B88" w:rsidRDefault="00A57B88" w:rsidP="002A5CB5">
            <w:pPr>
              <w:tabs>
                <w:tab w:val="center" w:pos="4536"/>
                <w:tab w:val="right" w:pos="9072"/>
              </w:tabs>
              <w:spacing w:line="256" w:lineRule="auto"/>
              <w:jc w:val="center"/>
              <w:rPr>
                <w:b/>
                <w:lang w:val="uk-UA"/>
              </w:rPr>
            </w:pPr>
          </w:p>
          <w:p w:rsidR="00A57B88" w:rsidRPr="00375127" w:rsidRDefault="00A57B88" w:rsidP="002A5CB5">
            <w:pPr>
              <w:tabs>
                <w:tab w:val="center" w:pos="4536"/>
                <w:tab w:val="right" w:pos="9072"/>
              </w:tabs>
              <w:spacing w:line="256" w:lineRule="auto"/>
              <w:jc w:val="center"/>
              <w:rPr>
                <w:b/>
              </w:rPr>
            </w:pPr>
            <w:r w:rsidRPr="00375127">
              <w:rPr>
                <w:b/>
              </w:rPr>
              <w:t>Надання компенсації витрат за тимчасове розміщення (перебування) внутрішньо переміщених осіб</w:t>
            </w:r>
          </w:p>
          <w:p w:rsidR="00A57B88" w:rsidRPr="00375127" w:rsidRDefault="00A57B88" w:rsidP="002A5CB5">
            <w:pPr>
              <w:tabs>
                <w:tab w:val="center" w:pos="4536"/>
                <w:tab w:val="right" w:pos="9072"/>
              </w:tabs>
              <w:spacing w:line="256" w:lineRule="auto"/>
              <w:jc w:val="center"/>
              <w:rPr>
                <w:b/>
              </w:rPr>
            </w:pPr>
          </w:p>
          <w:p w:rsidR="00A57B88" w:rsidRPr="00375127" w:rsidRDefault="00A57B88" w:rsidP="002A5CB5">
            <w:pPr>
              <w:tabs>
                <w:tab w:val="center" w:pos="4536"/>
                <w:tab w:val="right" w:pos="9072"/>
              </w:tabs>
              <w:spacing w:line="256" w:lineRule="auto"/>
              <w:jc w:val="center"/>
              <w:rPr>
                <w:b/>
              </w:rPr>
            </w:pPr>
          </w:p>
        </w:tc>
        <w:tc>
          <w:tcPr>
            <w:tcW w:w="193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pStyle w:val="a5"/>
              <w:snapToGrid w:val="0"/>
              <w:spacing w:line="256" w:lineRule="auto"/>
              <w:jc w:val="center"/>
              <w:rPr>
                <w:b/>
              </w:rPr>
            </w:pPr>
          </w:p>
          <w:p w:rsidR="00A57B88" w:rsidRDefault="00A57B88" w:rsidP="002A5CB5">
            <w:pPr>
              <w:pStyle w:val="a5"/>
              <w:snapToGrid w:val="0"/>
              <w:spacing w:line="256" w:lineRule="auto"/>
              <w:jc w:val="center"/>
              <w:rPr>
                <w:b/>
                <w:lang w:val="uk-UA"/>
              </w:rPr>
            </w:pPr>
          </w:p>
          <w:p w:rsidR="00A57B88" w:rsidRDefault="00A57B88" w:rsidP="002A5CB5">
            <w:pPr>
              <w:pStyle w:val="a5"/>
              <w:snapToGrid w:val="0"/>
              <w:spacing w:line="256" w:lineRule="auto"/>
              <w:jc w:val="center"/>
              <w:rPr>
                <w:b/>
                <w:lang w:val="uk-UA"/>
              </w:rPr>
            </w:pPr>
          </w:p>
          <w:p w:rsidR="00A57B88" w:rsidRPr="00375127" w:rsidRDefault="00A57B88" w:rsidP="002A5CB5">
            <w:pPr>
              <w:pStyle w:val="a5"/>
              <w:snapToGrid w:val="0"/>
              <w:spacing w:line="256" w:lineRule="auto"/>
              <w:jc w:val="center"/>
              <w:rPr>
                <w:b/>
                <w:shd w:val="clear" w:color="auto" w:fill="FFFF00"/>
              </w:rPr>
            </w:pPr>
            <w:r w:rsidRPr="00375127">
              <w:rPr>
                <w:b/>
              </w:rPr>
              <w:t>ІК 3-5-2</w:t>
            </w:r>
          </w:p>
        </w:tc>
      </w:tr>
    </w:tbl>
    <w:p w:rsidR="00A57B88" w:rsidRPr="00375127" w:rsidRDefault="00A57B88" w:rsidP="00A57B88">
      <w:pPr>
        <w:rPr>
          <w:vanish/>
        </w:rPr>
      </w:pPr>
    </w:p>
    <w:tbl>
      <w:tblPr>
        <w:tblW w:w="9600" w:type="dxa"/>
        <w:tblLayout w:type="fixed"/>
        <w:tblLook w:val="04A0" w:firstRow="1" w:lastRow="0" w:firstColumn="1" w:lastColumn="0" w:noHBand="0" w:noVBand="1"/>
      </w:tblPr>
      <w:tblGrid>
        <w:gridCol w:w="588"/>
        <w:gridCol w:w="2472"/>
        <w:gridCol w:w="6540"/>
      </w:tblGrid>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1.</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hideMark/>
          </w:tcPr>
          <w:p w:rsidR="00A57B88" w:rsidRPr="00375127" w:rsidRDefault="00A57B88" w:rsidP="002A5CB5">
            <w:pPr>
              <w:snapToGrid w:val="0"/>
              <w:spacing w:line="240" w:lineRule="exact"/>
            </w:pPr>
            <w:r w:rsidRPr="00375127">
              <w:t>Управління соціального захисту населення Миргородської міської ради</w:t>
            </w:r>
          </w:p>
          <w:p w:rsidR="00A57B88" w:rsidRPr="00375127" w:rsidRDefault="00A57B88" w:rsidP="002A5CB5">
            <w:pPr>
              <w:snapToGrid w:val="0"/>
              <w:spacing w:line="240" w:lineRule="exact"/>
              <w:jc w:val="both"/>
              <w:rPr>
                <w:spacing w:val="-3"/>
                <w:shd w:val="clear" w:color="auto" w:fill="FFFF00"/>
              </w:rPr>
            </w:pPr>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2.</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snapToGrid w:val="0"/>
              <w:jc w:val="both"/>
            </w:pPr>
            <w:r w:rsidRPr="00375127">
              <w:t xml:space="preserve">Відділ «Центр надання адміністративних послуг» виконавчого комітету Миргородської міської ради </w:t>
            </w:r>
          </w:p>
          <w:p w:rsidR="00A57B88" w:rsidRPr="00375127" w:rsidRDefault="00A57B88" w:rsidP="002A5CB5">
            <w:pPr>
              <w:snapToGrid w:val="0"/>
              <w:jc w:val="both"/>
            </w:pPr>
            <w:r w:rsidRPr="00375127">
              <w:t>вул. Гоголя,171/1, тел/факс (05355) 5-03-18</w:t>
            </w:r>
          </w:p>
          <w:p w:rsidR="00A57B88" w:rsidRPr="00375127" w:rsidRDefault="00A57B88" w:rsidP="002A5CB5">
            <w:pPr>
              <w:snapToGrid w:val="0"/>
              <w:jc w:val="both"/>
            </w:pPr>
            <w:r w:rsidRPr="00375127">
              <w:t xml:space="preserve">e-mail: </w:t>
            </w:r>
            <w:hyperlink r:id="rId6" w:history="1">
              <w:r w:rsidRPr="00375127">
                <w:rPr>
                  <w:rStyle w:val="a4"/>
                </w:rPr>
                <w:t>cnap_mirgorod@ukr.net</w:t>
              </w:r>
            </w:hyperlink>
          </w:p>
          <w:p w:rsidR="00A57B88" w:rsidRPr="00375127" w:rsidRDefault="00A57B88" w:rsidP="002A5CB5">
            <w:pPr>
              <w:snapToGrid w:val="0"/>
              <w:jc w:val="both"/>
            </w:pPr>
          </w:p>
          <w:p w:rsidR="00A57B88" w:rsidRPr="00375127" w:rsidRDefault="00A57B88" w:rsidP="002A5CB5">
            <w:pPr>
              <w:snapToGrid w:val="0"/>
              <w:jc w:val="both"/>
            </w:pPr>
          </w:p>
          <w:p w:rsidR="00A57B88" w:rsidRPr="00375127" w:rsidRDefault="00A57B88" w:rsidP="002A5CB5">
            <w:pPr>
              <w:snapToGrid w:val="0"/>
              <w:jc w:val="both"/>
            </w:pPr>
            <w:r w:rsidRPr="00375127">
              <w:t>Віддалені робочі місця відділу «Центр надання адміністративних послуг» виконавчого комітету Миргородської міської ради у сільських населених пунктах</w:t>
            </w:r>
          </w:p>
          <w:p w:rsidR="00A57B88" w:rsidRPr="00375127" w:rsidRDefault="00A57B88" w:rsidP="002A5CB5">
            <w:pPr>
              <w:snapToGrid w:val="0"/>
              <w:jc w:val="both"/>
            </w:pPr>
          </w:p>
          <w:p w:rsidR="00A57B88" w:rsidRPr="00375127" w:rsidRDefault="00A57B88" w:rsidP="002A5CB5">
            <w:pPr>
              <w:snapToGrid w:val="0"/>
              <w:jc w:val="both"/>
            </w:pPr>
            <w:r w:rsidRPr="00375127">
              <w:t>понеділок - четвер з 8.00 до 17.00</w:t>
            </w:r>
          </w:p>
          <w:p w:rsidR="00A57B88" w:rsidRPr="00375127" w:rsidRDefault="00A57B88" w:rsidP="002A5CB5">
            <w:pPr>
              <w:snapToGrid w:val="0"/>
              <w:jc w:val="both"/>
            </w:pPr>
            <w:r w:rsidRPr="00375127">
              <w:t>п’ятниця з 8.00 до 15.45</w:t>
            </w:r>
          </w:p>
          <w:p w:rsidR="00A57B88" w:rsidRPr="00375127" w:rsidRDefault="00A57B88" w:rsidP="002A5CB5">
            <w:pPr>
              <w:jc w:val="both"/>
            </w:pPr>
            <w:r w:rsidRPr="00375127">
              <w:t>перерва з 12.00 до 12.45</w:t>
            </w:r>
          </w:p>
        </w:tc>
      </w:tr>
      <w:tr w:rsidR="00A57B88"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3.</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pPr>
            <w:r w:rsidRPr="00375127">
              <w:t>Підстава для отримання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pStyle w:val="rvps2"/>
              <w:shd w:val="clear" w:color="auto" w:fill="FFFFFF"/>
              <w:spacing w:before="0" w:beforeAutospacing="0" w:after="0" w:afterAutospacing="0" w:line="240" w:lineRule="exact"/>
              <w:ind w:firstLine="448"/>
              <w:jc w:val="both"/>
              <w:rPr>
                <w:lang w:val="uk-UA"/>
              </w:rPr>
            </w:pPr>
            <w:r w:rsidRPr="00375127">
              <w:rPr>
                <w:lang w:val="uk-UA"/>
              </w:rPr>
              <w:t>Компенсація надається фізичним особам - громадянам України, які є власниками житла, або їх представниками, наймачами (орендарями) житла державної або комунальної власності, спадкоємцями, які прийняли спадщину, і безоплатно розмістили у своїх житлових приміщеннях зазначених у</w:t>
            </w:r>
            <w:r w:rsidRPr="00375127">
              <w:t> </w:t>
            </w:r>
            <w:hyperlink r:id="rId7" w:anchor="n96" w:history="1">
              <w:r w:rsidRPr="00375127">
                <w:rPr>
                  <w:u w:val="single"/>
                  <w:lang w:val="uk-UA"/>
                </w:rPr>
                <w:t>пункті 1</w:t>
              </w:r>
            </w:hyperlink>
            <w:r w:rsidRPr="00375127">
              <w:t> </w:t>
            </w:r>
            <w:r w:rsidRPr="00375127">
              <w:rPr>
                <w:lang w:val="uk-UA"/>
              </w:rPr>
              <w:t xml:space="preserve"> Порядку компенсації витрат за тимчасове розміщення (перебування) внутрішньо переміщених осіб), затвердженому постановою Кабінету Міністрів України від 30.08.2022 №333 (далі – Порядок), внутрішньо переміщених осіб, крім осіб, з якими вони пов’язані родинними відносинами, споріднення яких засноване на шлюбі та кровному рідстві (чоловік, дружина, батько, мати, діти, онуки, зокрема повнолітні) (далі - особи, що розмістили внутрішньо переміщених осіб), для покриття витрат, пов’язаних з безоплатним розміщенням внутрішньо переміщених осіб.</w:t>
            </w:r>
          </w:p>
        </w:tc>
      </w:tr>
      <w:tr w:rsidR="00A57B88" w:rsidRPr="00375127" w:rsidTr="002A5CB5">
        <w:trPr>
          <w:trHeight w:val="539"/>
        </w:trPr>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4.</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spacing w:line="240" w:lineRule="exact"/>
              <w:jc w:val="both"/>
              <w:rPr>
                <w:rStyle w:val="rvts0"/>
              </w:rPr>
            </w:pPr>
            <w:r w:rsidRPr="00375127">
              <w:t xml:space="preserve">Особа, що розмістила внутрішньо переміщених осіб, не пізніше ніж </w:t>
            </w:r>
            <w:proofErr w:type="gramStart"/>
            <w:r w:rsidRPr="00375127">
              <w:t>протягом  п’яти</w:t>
            </w:r>
            <w:proofErr w:type="gramEnd"/>
            <w:r w:rsidRPr="00375127">
              <w:t xml:space="preserve"> днів з дня закінчення звітного місяця подає:</w:t>
            </w:r>
          </w:p>
          <w:p w:rsidR="00A57B88" w:rsidRPr="00375127" w:rsidRDefault="00A57B88" w:rsidP="00A57B88">
            <w:pPr>
              <w:numPr>
                <w:ilvl w:val="0"/>
                <w:numId w:val="29"/>
              </w:numPr>
              <w:suppressAutoHyphens/>
              <w:spacing w:line="240" w:lineRule="exact"/>
              <w:jc w:val="both"/>
              <w:rPr>
                <w:rStyle w:val="rvts0"/>
              </w:rPr>
            </w:pPr>
            <w:r w:rsidRPr="00375127">
              <w:rPr>
                <w:rStyle w:val="rvts0"/>
              </w:rPr>
              <w:t>Заяву за формою згідно з додатком 2 до Порядку;</w:t>
            </w:r>
          </w:p>
          <w:p w:rsidR="00A57B88" w:rsidRPr="00375127" w:rsidRDefault="00A57B88" w:rsidP="00A57B88">
            <w:pPr>
              <w:numPr>
                <w:ilvl w:val="0"/>
                <w:numId w:val="29"/>
              </w:numPr>
              <w:suppressAutoHyphens/>
              <w:spacing w:line="240" w:lineRule="exact"/>
              <w:jc w:val="both"/>
              <w:rPr>
                <w:rStyle w:val="rvts0"/>
              </w:rPr>
            </w:pPr>
            <w:r w:rsidRPr="00375127">
              <w:rPr>
                <w:rStyle w:val="rvts0"/>
              </w:rPr>
              <w:t>Паспорт громадянина України заявника;</w:t>
            </w:r>
          </w:p>
          <w:p w:rsidR="00A57B88" w:rsidRPr="00375127" w:rsidRDefault="00A57B88" w:rsidP="00A57B88">
            <w:pPr>
              <w:numPr>
                <w:ilvl w:val="0"/>
                <w:numId w:val="29"/>
              </w:numPr>
              <w:suppressAutoHyphens/>
              <w:spacing w:line="240" w:lineRule="exact"/>
              <w:jc w:val="both"/>
              <w:rPr>
                <w:rStyle w:val="rvts0"/>
              </w:rPr>
            </w:pPr>
            <w:r w:rsidRPr="00375127">
              <w:rPr>
                <w:rStyle w:val="rvts0"/>
              </w:rPr>
              <w:t>Виписку з демографічного реєстру заявника (за наявності);</w:t>
            </w:r>
          </w:p>
          <w:p w:rsidR="00A57B88" w:rsidRPr="00375127" w:rsidRDefault="00A57B88" w:rsidP="00A57B88">
            <w:pPr>
              <w:numPr>
                <w:ilvl w:val="0"/>
                <w:numId w:val="29"/>
              </w:numPr>
              <w:suppressAutoHyphens/>
              <w:spacing w:line="240" w:lineRule="exact"/>
              <w:jc w:val="both"/>
              <w:rPr>
                <w:rStyle w:val="rvts0"/>
              </w:rPr>
            </w:pPr>
            <w:r w:rsidRPr="00375127">
              <w:rPr>
                <w:rStyle w:val="rvts0"/>
              </w:rPr>
              <w:t xml:space="preserve">Реєстраційний номер облікової картки платника податків заявника (крім фізичних осіб, які через свої релігійні переконання відмовилися від прийняття реєстраційного </w:t>
            </w:r>
            <w:r w:rsidRPr="00375127">
              <w:rPr>
                <w:rStyle w:val="rvts0"/>
              </w:rPr>
              <w:lastRenderedPageBreak/>
              <w:t>номера облікової картки платника податків, і мають про це відмітку у паспорті);</w:t>
            </w:r>
          </w:p>
          <w:p w:rsidR="00A57B88" w:rsidRPr="00375127" w:rsidRDefault="00A57B88" w:rsidP="00A57B88">
            <w:pPr>
              <w:numPr>
                <w:ilvl w:val="0"/>
                <w:numId w:val="29"/>
              </w:numPr>
              <w:suppressAutoHyphens/>
              <w:spacing w:line="240" w:lineRule="exact"/>
              <w:jc w:val="both"/>
              <w:rPr>
                <w:rStyle w:val="rvts0"/>
              </w:rPr>
            </w:pPr>
            <w:r w:rsidRPr="00375127">
              <w:rPr>
                <w:rStyle w:val="rvts0"/>
              </w:rPr>
              <w:t>Документи, що підтверджують право власності або користування житловим приміщенням;</w:t>
            </w:r>
          </w:p>
          <w:p w:rsidR="00A57B88" w:rsidRPr="00375127" w:rsidRDefault="00A57B88" w:rsidP="00A57B88">
            <w:pPr>
              <w:numPr>
                <w:ilvl w:val="0"/>
                <w:numId w:val="29"/>
              </w:numPr>
              <w:suppressAutoHyphens/>
              <w:spacing w:line="240" w:lineRule="exact"/>
              <w:ind w:left="344"/>
              <w:jc w:val="both"/>
              <w:rPr>
                <w:rStyle w:val="rvts0"/>
              </w:rPr>
            </w:pPr>
            <w:r w:rsidRPr="00375127">
              <w:rPr>
                <w:rStyle w:val="rvts0"/>
              </w:rPr>
              <w:t xml:space="preserve">У разі подання документів представником власника житлового приміщення - документи, що посвідчують особу та нотаріально засвідчене доручення; </w:t>
            </w:r>
          </w:p>
          <w:p w:rsidR="00A57B88" w:rsidRPr="00375127" w:rsidRDefault="00A57B88" w:rsidP="00A57B88">
            <w:pPr>
              <w:numPr>
                <w:ilvl w:val="0"/>
                <w:numId w:val="29"/>
              </w:numPr>
              <w:suppressAutoHyphens/>
              <w:spacing w:line="240" w:lineRule="exact"/>
              <w:jc w:val="both"/>
              <w:rPr>
                <w:rStyle w:val="rvts0"/>
              </w:rPr>
            </w:pPr>
            <w:r w:rsidRPr="00375127">
              <w:rPr>
                <w:rStyle w:val="rvts0"/>
              </w:rPr>
              <w:t>Копії довідок про взяття на облік розміщених внутрішньо переміщених осіб;</w:t>
            </w:r>
          </w:p>
          <w:p w:rsidR="00A57B88" w:rsidRPr="00375127" w:rsidRDefault="00A57B88" w:rsidP="00A57B88">
            <w:pPr>
              <w:numPr>
                <w:ilvl w:val="0"/>
                <w:numId w:val="29"/>
              </w:numPr>
              <w:suppressAutoHyphens/>
              <w:spacing w:line="240" w:lineRule="exact"/>
              <w:jc w:val="both"/>
              <w:rPr>
                <w:rStyle w:val="rvts0"/>
              </w:rPr>
            </w:pPr>
            <w:r w:rsidRPr="00375127">
              <w:rPr>
                <w:rStyle w:val="rvts0"/>
              </w:rPr>
              <w:t>Копії паспортів громадянина України розміщених внутрішньо переміщених осіб;</w:t>
            </w:r>
          </w:p>
          <w:p w:rsidR="00A57B88" w:rsidRPr="00375127" w:rsidRDefault="00A57B88" w:rsidP="00A57B88">
            <w:pPr>
              <w:numPr>
                <w:ilvl w:val="0"/>
                <w:numId w:val="29"/>
              </w:numPr>
              <w:suppressAutoHyphens/>
              <w:spacing w:line="240" w:lineRule="exact"/>
              <w:jc w:val="both"/>
              <w:rPr>
                <w:rStyle w:val="rvts0"/>
              </w:rPr>
            </w:pPr>
            <w:r w:rsidRPr="00375127">
              <w:rPr>
                <w:rStyle w:val="rvts0"/>
              </w:rPr>
              <w:t xml:space="preserve">Копії виписки з </w:t>
            </w:r>
            <w:proofErr w:type="gramStart"/>
            <w:r w:rsidRPr="00375127">
              <w:rPr>
                <w:rStyle w:val="rvts0"/>
              </w:rPr>
              <w:t>демографічного  реєстру</w:t>
            </w:r>
            <w:proofErr w:type="gramEnd"/>
            <w:r w:rsidRPr="00375127">
              <w:rPr>
                <w:rStyle w:val="rvts0"/>
              </w:rPr>
              <w:t xml:space="preserve"> розміщених внутрішньо переміщених осіб (за наявності);  </w:t>
            </w:r>
          </w:p>
          <w:p w:rsidR="00A57B88" w:rsidRPr="00375127" w:rsidRDefault="00A57B88" w:rsidP="00A57B88">
            <w:pPr>
              <w:numPr>
                <w:ilvl w:val="0"/>
                <w:numId w:val="29"/>
              </w:numPr>
              <w:suppressAutoHyphens/>
              <w:spacing w:line="240" w:lineRule="exact"/>
              <w:jc w:val="both"/>
              <w:rPr>
                <w:rStyle w:val="rvts0"/>
              </w:rPr>
            </w:pPr>
            <w:r w:rsidRPr="00375127">
              <w:rPr>
                <w:rStyle w:val="rvts0"/>
              </w:rPr>
              <w:t>Копії реєстраційних номерів облікової картки платника податків розміщених внутрішньо переміщених осіб;</w:t>
            </w:r>
          </w:p>
          <w:p w:rsidR="00A57B88" w:rsidRPr="00375127" w:rsidRDefault="00A57B88" w:rsidP="00A57B88">
            <w:pPr>
              <w:numPr>
                <w:ilvl w:val="0"/>
                <w:numId w:val="29"/>
              </w:numPr>
              <w:suppressAutoHyphens/>
              <w:spacing w:line="240" w:lineRule="exact"/>
              <w:jc w:val="both"/>
              <w:rPr>
                <w:rStyle w:val="rvts0"/>
              </w:rPr>
            </w:pPr>
            <w:r w:rsidRPr="00375127">
              <w:rPr>
                <w:rStyle w:val="rvts0"/>
              </w:rPr>
              <w:t>Копії свідоцтва про народження для дітей з числа розміщених внутрішньо переміщених осіб;</w:t>
            </w:r>
          </w:p>
          <w:p w:rsidR="00A57B88" w:rsidRPr="00375127" w:rsidRDefault="00A57B88" w:rsidP="00A57B88">
            <w:pPr>
              <w:numPr>
                <w:ilvl w:val="0"/>
                <w:numId w:val="29"/>
              </w:numPr>
              <w:suppressAutoHyphens/>
              <w:spacing w:line="240" w:lineRule="exact"/>
              <w:jc w:val="both"/>
              <w:rPr>
                <w:rStyle w:val="rvts0"/>
              </w:rPr>
            </w:pPr>
            <w:r w:rsidRPr="00375127">
              <w:rPr>
                <w:rStyle w:val="rvts0"/>
              </w:rPr>
              <w:t>Виписку з реєстру зруйнованого та пошкодженого майна, або документальне підтвердження від органів місцевого самоврядування</w:t>
            </w:r>
            <w:r w:rsidRPr="00375127">
              <w:t xml:space="preserve"> факту пошкодження/знищення нерухомого майна внаслідок бойових дій, терористичних актів, диверсій, спричинених військовою агресією російської федерації</w:t>
            </w:r>
            <w:r w:rsidRPr="00375127">
              <w:rPr>
                <w:rStyle w:val="rvts0"/>
              </w:rPr>
              <w:t xml:space="preserve"> (за наявності).</w:t>
            </w:r>
          </w:p>
          <w:p w:rsidR="00A57B88" w:rsidRPr="00375127" w:rsidRDefault="00A57B88" w:rsidP="002A5CB5">
            <w:pPr>
              <w:shd w:val="clear" w:color="auto" w:fill="FFFFFF"/>
              <w:spacing w:line="240" w:lineRule="exact"/>
              <w:ind w:firstLine="450"/>
              <w:jc w:val="both"/>
              <w:rPr>
                <w:i/>
                <w:iCs/>
              </w:rPr>
            </w:pPr>
            <w:r w:rsidRPr="00375127">
              <w:t xml:space="preserve">У разі подання заяви в електронній формі до заяви додаються електронні копії (фотокопії або сканкопії) документів, що підтверджують подану інформацію, </w:t>
            </w:r>
            <w:proofErr w:type="gramStart"/>
            <w:r w:rsidRPr="00375127">
              <w:t>передбачену  додатком</w:t>
            </w:r>
            <w:proofErr w:type="gramEnd"/>
            <w:r w:rsidRPr="00375127">
              <w:t xml:space="preserve"> 2 до Порядку.</w:t>
            </w:r>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lastRenderedPageBreak/>
              <w:t>5.</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t>Спосіб подання документів/ отримання результату</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75127">
              <w:t>1.</w:t>
            </w:r>
            <w:proofErr w:type="gramStart"/>
            <w:r w:rsidRPr="00375127">
              <w:t>Особисто  власником</w:t>
            </w:r>
            <w:proofErr w:type="gramEnd"/>
            <w:r w:rsidRPr="00375127">
              <w:t xml:space="preserve"> житла або представником власника житла за дорученням;</w:t>
            </w:r>
          </w:p>
          <w:p w:rsidR="00A57B88" w:rsidRPr="00375127" w:rsidRDefault="00A57B88" w:rsidP="002A5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75127">
              <w:t xml:space="preserve">2. На електронну адресу відділу «Центр надання адміністративних послуг» виконавчого комітету Миргородської міської ради: </w:t>
            </w:r>
            <w:hyperlink r:id="rId8" w:history="1">
              <w:r w:rsidRPr="00375127">
                <w:rPr>
                  <w:rStyle w:val="a4"/>
                  <w:rFonts w:eastAsia="Calibri"/>
                  <w:lang w:val="en-GB"/>
                </w:rPr>
                <w:t>cnap</w:t>
              </w:r>
              <w:r w:rsidRPr="00375127">
                <w:rPr>
                  <w:rStyle w:val="a4"/>
                  <w:rFonts w:eastAsia="Calibri"/>
                </w:rPr>
                <w:t>_</w:t>
              </w:r>
              <w:r w:rsidRPr="00375127">
                <w:rPr>
                  <w:rStyle w:val="a4"/>
                  <w:rFonts w:eastAsia="Calibri"/>
                  <w:lang w:val="en-GB"/>
                </w:rPr>
                <w:t>mirgorod</w:t>
              </w:r>
              <w:r w:rsidRPr="00375127">
                <w:rPr>
                  <w:rStyle w:val="a4"/>
                  <w:rFonts w:eastAsia="Calibri"/>
                </w:rPr>
                <w:t>@</w:t>
              </w:r>
              <w:r w:rsidRPr="00375127">
                <w:rPr>
                  <w:rStyle w:val="a4"/>
                  <w:rFonts w:eastAsia="Calibri"/>
                  <w:lang w:val="en-GB"/>
                </w:rPr>
                <w:t>ukr</w:t>
              </w:r>
              <w:r w:rsidRPr="00375127">
                <w:rPr>
                  <w:rStyle w:val="a4"/>
                  <w:rFonts w:eastAsia="Calibri"/>
                </w:rPr>
                <w:t>.</w:t>
              </w:r>
              <w:r w:rsidRPr="00375127">
                <w:rPr>
                  <w:rStyle w:val="a4"/>
                  <w:rFonts w:eastAsia="Calibri"/>
                  <w:lang w:val="en-GB"/>
                </w:rPr>
                <w:t>net</w:t>
              </w:r>
            </w:hyperlink>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6.</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 xml:space="preserve">Нормативні акти, якими регламентується надання адміністративної послуги </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snapToGrid w:val="0"/>
              <w:spacing w:line="240" w:lineRule="exact"/>
              <w:jc w:val="both"/>
            </w:pPr>
            <w:r w:rsidRPr="00375127">
              <w:t>Закон України «Про місцеве самоврядування в Україні»;</w:t>
            </w:r>
          </w:p>
          <w:p w:rsidR="00A57B88" w:rsidRPr="00375127" w:rsidRDefault="00A57B88" w:rsidP="002A5CB5">
            <w:pPr>
              <w:snapToGrid w:val="0"/>
              <w:spacing w:line="240" w:lineRule="exact"/>
              <w:jc w:val="both"/>
            </w:pPr>
            <w:r w:rsidRPr="00375127">
              <w:t>постанова Кабінету Міністрів України від 19.03.2022 № 333 «Про затвердження Порядку компенсації витрат за тимчасове розміщення (перебування) внутрішньо переміщених осіб» (зі змінами);</w:t>
            </w:r>
          </w:p>
          <w:p w:rsidR="00A57B88" w:rsidRPr="00375127" w:rsidRDefault="00A57B88" w:rsidP="002A5CB5">
            <w:pPr>
              <w:snapToGrid w:val="0"/>
              <w:spacing w:line="240" w:lineRule="exact"/>
              <w:jc w:val="both"/>
            </w:pPr>
            <w:r w:rsidRPr="00375127">
              <w:t>розпорядження міського голови від 06.02.2023р. №11-в «Про організацію виконання постанови Кабінету Міністрів України від 19.03.2022 № 333 «Про затвердження Порядку компенсації витрат за тимчасове розміщення (перебування) внутрішньо переміщених осіб (зі змінами)</w:t>
            </w:r>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t xml:space="preserve">Платність (безоплатність) надання </w:t>
            </w:r>
          </w:p>
        </w:tc>
        <w:tc>
          <w:tcPr>
            <w:tcW w:w="6540" w:type="dxa"/>
            <w:tcBorders>
              <w:top w:val="single" w:sz="4" w:space="0" w:color="000000"/>
              <w:left w:val="single" w:sz="4" w:space="0" w:color="000000"/>
              <w:bottom w:val="single" w:sz="4" w:space="0" w:color="000000"/>
              <w:right w:val="single" w:sz="4" w:space="0" w:color="000000"/>
            </w:tcBorders>
            <w:hideMark/>
          </w:tcPr>
          <w:p w:rsidR="00A57B88" w:rsidRPr="00375127" w:rsidRDefault="00A57B88" w:rsidP="002A5CB5">
            <w:pPr>
              <w:snapToGrid w:val="0"/>
              <w:spacing w:line="240" w:lineRule="exact"/>
              <w:jc w:val="both"/>
            </w:pPr>
          </w:p>
          <w:p w:rsidR="00A57B88" w:rsidRPr="00375127" w:rsidRDefault="00A57B88" w:rsidP="002A5CB5">
            <w:pPr>
              <w:snapToGrid w:val="0"/>
              <w:spacing w:line="240" w:lineRule="exact"/>
              <w:jc w:val="both"/>
            </w:pPr>
            <w:r w:rsidRPr="00375127">
              <w:t>Адміністративна послуга надається безоплатно</w:t>
            </w:r>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8.</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pPr>
            <w:r w:rsidRPr="00375127">
              <w:t xml:space="preserve">Строк надання </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2A5CB5">
            <w:pPr>
              <w:tabs>
                <w:tab w:val="center" w:pos="4536"/>
                <w:tab w:val="right" w:pos="9072"/>
              </w:tabs>
              <w:spacing w:line="240" w:lineRule="exact"/>
            </w:pPr>
            <w:r w:rsidRPr="00375127">
              <w:rPr>
                <w:shd w:val="clear" w:color="auto" w:fill="FFFFFF"/>
              </w:rPr>
              <w:t>Протягом п’яти робочих днів з дня, що настає за днем надходження заяви</w:t>
            </w:r>
          </w:p>
        </w:tc>
      </w:tr>
      <w:tr w:rsidR="00A57B88" w:rsidRPr="00375127" w:rsidTr="002A5CB5">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t xml:space="preserve">9. </w:t>
            </w:r>
          </w:p>
        </w:tc>
        <w:tc>
          <w:tcPr>
            <w:tcW w:w="2472" w:type="dxa"/>
            <w:tcBorders>
              <w:top w:val="single" w:sz="4" w:space="0" w:color="000000"/>
              <w:left w:val="single" w:sz="4" w:space="0" w:color="000000"/>
              <w:bottom w:val="single" w:sz="4" w:space="0" w:color="000000"/>
              <w:right w:val="nil"/>
            </w:tcBorders>
            <w:hideMark/>
          </w:tcPr>
          <w:p w:rsidR="00A57B88" w:rsidRPr="00375127" w:rsidRDefault="00A57B88" w:rsidP="002A5CB5">
            <w:pPr>
              <w:spacing w:line="240" w:lineRule="exact"/>
            </w:pPr>
            <w:r w:rsidRPr="00375127">
              <w:t>Перелік підстав для відмови</w:t>
            </w:r>
          </w:p>
          <w:p w:rsidR="00A57B88" w:rsidRPr="00375127" w:rsidRDefault="00A57B88" w:rsidP="002A5CB5">
            <w:pPr>
              <w:snapToGrid w:val="0"/>
              <w:spacing w:line="240" w:lineRule="exact"/>
              <w:jc w:val="both"/>
              <w:rPr>
                <w:spacing w:val="-4"/>
              </w:rPr>
            </w:pPr>
            <w:r w:rsidRPr="00375127">
              <w:t>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tcPr>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t>Подання заяв понад строки, передбачені Порядком;</w:t>
            </w:r>
          </w:p>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t>надання недостовірної інформації;</w:t>
            </w:r>
          </w:p>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t>подання заяви, форма якого не відповідає додатку 2 до Порядку;</w:t>
            </w:r>
          </w:p>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t>подання заяви про розміщення внутрішньо переміщених осіб з територій, які не включені до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відповідно до наказів Міністерства з питань реінтеграції тимчасово окупованих територій України, чинних на момент подачі заяви;</w:t>
            </w:r>
          </w:p>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t>подання заяви про розміщення членів сім’ї, у розумінні Сімейного кодексу України та співвласників житла;</w:t>
            </w:r>
          </w:p>
          <w:p w:rsidR="00A57B88" w:rsidRPr="00375127" w:rsidRDefault="00A57B88" w:rsidP="00A57B88">
            <w:pPr>
              <w:pStyle w:val="rvps2"/>
              <w:numPr>
                <w:ilvl w:val="0"/>
                <w:numId w:val="30"/>
              </w:numPr>
              <w:spacing w:before="0" w:beforeAutospacing="0" w:after="0" w:afterAutospacing="0" w:line="240" w:lineRule="exact"/>
              <w:ind w:left="334" w:hanging="357"/>
              <w:jc w:val="both"/>
              <w:rPr>
                <w:lang w:val="uk-UA"/>
              </w:rPr>
            </w:pPr>
            <w:r w:rsidRPr="00375127">
              <w:rPr>
                <w:lang w:val="uk-UA"/>
              </w:rPr>
              <w:lastRenderedPageBreak/>
              <w:t>приховання заявником інформації про платне розміщення внутрішньо переміщених осіб та /або про наявність заборгованості з оплати комунальних послуг.</w:t>
            </w:r>
          </w:p>
        </w:tc>
      </w:tr>
      <w:tr w:rsidR="00A57B88" w:rsidRPr="00375127" w:rsidTr="002A5CB5">
        <w:trPr>
          <w:trHeight w:val="699"/>
        </w:trPr>
        <w:tc>
          <w:tcPr>
            <w:tcW w:w="588" w:type="dxa"/>
            <w:tcBorders>
              <w:top w:val="single" w:sz="4" w:space="0" w:color="000000"/>
              <w:left w:val="single" w:sz="4" w:space="0" w:color="000000"/>
              <w:bottom w:val="single" w:sz="4" w:space="0" w:color="000000"/>
              <w:right w:val="nil"/>
            </w:tcBorders>
            <w:hideMark/>
          </w:tcPr>
          <w:p w:rsidR="00A57B88" w:rsidRPr="00375127" w:rsidRDefault="00A57B88" w:rsidP="002A5CB5">
            <w:pPr>
              <w:snapToGrid w:val="0"/>
              <w:spacing w:line="240" w:lineRule="exact"/>
              <w:jc w:val="both"/>
              <w:rPr>
                <w:spacing w:val="5"/>
              </w:rPr>
            </w:pPr>
            <w:r w:rsidRPr="00375127">
              <w:rPr>
                <w:spacing w:val="5"/>
              </w:rPr>
              <w:lastRenderedPageBreak/>
              <w:t>10.</w:t>
            </w:r>
          </w:p>
        </w:tc>
        <w:tc>
          <w:tcPr>
            <w:tcW w:w="2472" w:type="dxa"/>
            <w:tcBorders>
              <w:top w:val="single" w:sz="4" w:space="0" w:color="000000"/>
              <w:left w:val="single" w:sz="4" w:space="0" w:color="000000"/>
              <w:bottom w:val="single" w:sz="4" w:space="0" w:color="000000"/>
              <w:right w:val="nil"/>
            </w:tcBorders>
          </w:tcPr>
          <w:p w:rsidR="00A57B88" w:rsidRPr="00375127" w:rsidRDefault="00A57B88" w:rsidP="002A5CB5">
            <w:pPr>
              <w:spacing w:line="240" w:lineRule="exact"/>
              <w:jc w:val="both"/>
            </w:pPr>
            <w:r w:rsidRPr="00375127">
              <w:t>Результат надання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hideMark/>
          </w:tcPr>
          <w:p w:rsidR="00A57B88" w:rsidRPr="00375127" w:rsidRDefault="00A57B88" w:rsidP="002A5CB5">
            <w:pPr>
              <w:spacing w:line="240" w:lineRule="exact"/>
              <w:jc w:val="both"/>
            </w:pPr>
            <w:r w:rsidRPr="00375127">
              <w:t xml:space="preserve"> Внесення відомостей до інформаційно-аналітичної системи обліку даних, пов’язаних з компенсацією за тимчасове розміщення (перебування) внутрішньо переміщених осіб.</w:t>
            </w:r>
          </w:p>
          <w:p w:rsidR="00A57B88" w:rsidRPr="00375127" w:rsidRDefault="00A57B88" w:rsidP="002A5CB5">
            <w:pPr>
              <w:spacing w:line="240" w:lineRule="exact"/>
              <w:jc w:val="both"/>
            </w:pPr>
            <w:r w:rsidRPr="00375127">
              <w:t>Формування переліку осіб, що розмістили внутрішньо переміщених осіб та подали заяву про отримання компенсації витрат (додаток 5 Порядку) з визначеним обсягом компенсації.</w:t>
            </w:r>
          </w:p>
        </w:tc>
      </w:tr>
      <w:tr w:rsidR="00A57B88" w:rsidRPr="00375127" w:rsidTr="002A5CB5">
        <w:trPr>
          <w:trHeight w:val="699"/>
        </w:trPr>
        <w:tc>
          <w:tcPr>
            <w:tcW w:w="588" w:type="dxa"/>
            <w:tcBorders>
              <w:top w:val="single" w:sz="4" w:space="0" w:color="000000"/>
              <w:left w:val="single" w:sz="4" w:space="0" w:color="000000"/>
              <w:bottom w:val="single" w:sz="4" w:space="0" w:color="000000"/>
              <w:right w:val="nil"/>
            </w:tcBorders>
            <w:shd w:val="clear" w:color="auto" w:fill="auto"/>
            <w:hideMark/>
          </w:tcPr>
          <w:p w:rsidR="00A57B88" w:rsidRPr="001A3CA7" w:rsidRDefault="00A57B88" w:rsidP="002A5CB5">
            <w:pPr>
              <w:snapToGrid w:val="0"/>
              <w:spacing w:line="240" w:lineRule="exact"/>
              <w:jc w:val="both"/>
              <w:rPr>
                <w:spacing w:val="5"/>
              </w:rPr>
            </w:pPr>
            <w:r w:rsidRPr="001A3CA7">
              <w:rPr>
                <w:spacing w:val="5"/>
              </w:rPr>
              <w:t>11</w:t>
            </w:r>
          </w:p>
        </w:tc>
        <w:tc>
          <w:tcPr>
            <w:tcW w:w="2472" w:type="dxa"/>
            <w:tcBorders>
              <w:top w:val="single" w:sz="4" w:space="0" w:color="000000"/>
              <w:left w:val="single" w:sz="4" w:space="0" w:color="000000"/>
              <w:bottom w:val="single" w:sz="4" w:space="0" w:color="000000"/>
              <w:right w:val="nil"/>
            </w:tcBorders>
            <w:shd w:val="clear" w:color="auto" w:fill="auto"/>
          </w:tcPr>
          <w:p w:rsidR="00A57B88" w:rsidRPr="001A3CA7" w:rsidRDefault="00A57B88" w:rsidP="002A5CB5">
            <w:pPr>
              <w:spacing w:line="240" w:lineRule="exact"/>
              <w:jc w:val="both"/>
            </w:pPr>
            <w:r w:rsidRPr="001A3CA7">
              <w:t>Оскарження результату надання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hideMark/>
          </w:tcPr>
          <w:p w:rsidR="00A57B88" w:rsidRPr="001A3CA7" w:rsidRDefault="00A57B88" w:rsidP="002A5CB5">
            <w:pPr>
              <w:spacing w:line="240" w:lineRule="exact"/>
              <w:jc w:val="both"/>
            </w:pPr>
            <w:r w:rsidRPr="001A3CA7">
              <w:t xml:space="preserve">Дії або бездіяльністю надавача адміністративної послуги можуть бути оскаржені </w:t>
            </w:r>
            <w:proofErr w:type="gramStart"/>
            <w:r w:rsidRPr="001A3CA7">
              <w:t>в порядку</w:t>
            </w:r>
            <w:proofErr w:type="gramEnd"/>
            <w:r w:rsidRPr="001A3CA7">
              <w:t>, встановленому Законом України «Про адміністративну процедуру»:</w:t>
            </w:r>
          </w:p>
          <w:p w:rsidR="00A57B88" w:rsidRPr="001A3CA7" w:rsidRDefault="00A57B88" w:rsidP="00A57B88">
            <w:pPr>
              <w:numPr>
                <w:ilvl w:val="0"/>
                <w:numId w:val="1"/>
              </w:numPr>
              <w:snapToGrid w:val="0"/>
              <w:ind w:left="342"/>
              <w:jc w:val="both"/>
            </w:pPr>
            <w:r w:rsidRPr="001A3CA7">
              <w:t>до комісії з розгляду скарг щодо прийнятого адміністративного акта, процедурних рішень, дії чи бездіяльність Миргородської міської ради;</w:t>
            </w:r>
          </w:p>
          <w:p w:rsidR="00A57B88" w:rsidRPr="001A3CA7" w:rsidRDefault="00A57B88" w:rsidP="00A57B88">
            <w:pPr>
              <w:numPr>
                <w:ilvl w:val="0"/>
                <w:numId w:val="1"/>
              </w:numPr>
              <w:autoSpaceDE w:val="0"/>
              <w:autoSpaceDN w:val="0"/>
              <w:adjustRightInd w:val="0"/>
              <w:ind w:left="316"/>
              <w:jc w:val="both"/>
            </w:pPr>
            <w:proofErr w:type="gramStart"/>
            <w:r w:rsidRPr="001A3CA7">
              <w:t>до суду</w:t>
            </w:r>
            <w:proofErr w:type="gramEnd"/>
          </w:p>
        </w:tc>
      </w:tr>
    </w:tbl>
    <w:p w:rsidR="00A57B88" w:rsidRPr="00375127" w:rsidRDefault="00A57B88" w:rsidP="00A57B88">
      <w:pPr>
        <w:spacing w:line="240" w:lineRule="exact"/>
      </w:pPr>
    </w:p>
    <w:p w:rsidR="00A57B88" w:rsidRPr="00375127" w:rsidRDefault="00A57B88" w:rsidP="00A57B88">
      <w:pPr>
        <w:spacing w:line="240" w:lineRule="exact"/>
      </w:pPr>
    </w:p>
    <w:p w:rsidR="00A57B88" w:rsidRPr="00375127" w:rsidRDefault="00A57B88" w:rsidP="00A57B88">
      <w:pPr>
        <w:spacing w:line="240" w:lineRule="exact"/>
      </w:pPr>
    </w:p>
    <w:p w:rsidR="00397550" w:rsidRDefault="00397550" w:rsidP="00A57B88">
      <w:pPr>
        <w:rPr>
          <w:lang w:val="uk-UA"/>
        </w:rPr>
      </w:pPr>
      <w:bookmarkStart w:id="0" w:name="_GoBack"/>
      <w:bookmarkEnd w:id="0"/>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782EA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F7A17"/>
    <w:multiLevelType w:val="hybridMultilevel"/>
    <w:tmpl w:val="9648B2E8"/>
    <w:lvl w:ilvl="0" w:tplc="041C140C">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A0A33F3"/>
    <w:multiLevelType w:val="hybridMultilevel"/>
    <w:tmpl w:val="A00A2E26"/>
    <w:lvl w:ilvl="0" w:tplc="ABEE44D2">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7"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8"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1"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B3127C"/>
    <w:multiLevelType w:val="hybridMultilevel"/>
    <w:tmpl w:val="D1A2B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8"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D574B99"/>
    <w:multiLevelType w:val="hybridMultilevel"/>
    <w:tmpl w:val="EDD2204E"/>
    <w:lvl w:ilvl="0" w:tplc="C498774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21"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4"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3"/>
  </w:num>
  <w:num w:numId="4">
    <w:abstractNumId w:val="7"/>
  </w:num>
  <w:num w:numId="5">
    <w:abstractNumId w:val="29"/>
  </w:num>
  <w:num w:numId="6">
    <w:abstractNumId w:val="22"/>
  </w:num>
  <w:num w:numId="7">
    <w:abstractNumId w:val="17"/>
  </w:num>
  <w:num w:numId="8">
    <w:abstractNumId w:val="21"/>
  </w:num>
  <w:num w:numId="9">
    <w:abstractNumId w:val="11"/>
  </w:num>
  <w:num w:numId="10">
    <w:abstractNumId w:val="25"/>
  </w:num>
  <w:num w:numId="11">
    <w:abstractNumId w:val="15"/>
  </w:num>
  <w:num w:numId="12">
    <w:abstractNumId w:val="27"/>
  </w:num>
  <w:num w:numId="13">
    <w:abstractNumId w:val="24"/>
  </w:num>
  <w:num w:numId="14">
    <w:abstractNumId w:val="1"/>
  </w:num>
  <w:num w:numId="15">
    <w:abstractNumId w:val="16"/>
  </w:num>
  <w:num w:numId="16">
    <w:abstractNumId w:val="26"/>
  </w:num>
  <w:num w:numId="17">
    <w:abstractNumId w:val="8"/>
  </w:num>
  <w:num w:numId="18">
    <w:abstractNumId w:val="18"/>
  </w:num>
  <w:num w:numId="19">
    <w:abstractNumId w:val="23"/>
  </w:num>
  <w:num w:numId="20">
    <w:abstractNumId w:val="14"/>
  </w:num>
  <w:num w:numId="21">
    <w:abstractNumId w:val="9"/>
  </w:num>
  <w:num w:numId="22">
    <w:abstractNumId w:val="0"/>
  </w:num>
  <w:num w:numId="23">
    <w:abstractNumId w:val="3"/>
  </w:num>
  <w:num w:numId="24">
    <w:abstractNumId w:val="28"/>
  </w:num>
  <w:num w:numId="25">
    <w:abstractNumId w:val="10"/>
  </w:num>
  <w:num w:numId="26">
    <w:abstractNumId w:val="20"/>
  </w:num>
  <w:num w:numId="27">
    <w:abstractNumId w:val="12"/>
  </w:num>
  <w:num w:numId="28">
    <w:abstractNumId w:val="19"/>
  </w:num>
  <w:num w:numId="29">
    <w:abstractNumId w:val="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0F0033"/>
    <w:rsid w:val="00103638"/>
    <w:rsid w:val="0014161E"/>
    <w:rsid w:val="001A0F1E"/>
    <w:rsid w:val="001A216D"/>
    <w:rsid w:val="001C1EB3"/>
    <w:rsid w:val="00203AD9"/>
    <w:rsid w:val="00242D48"/>
    <w:rsid w:val="002562A6"/>
    <w:rsid w:val="00283175"/>
    <w:rsid w:val="002A5FA5"/>
    <w:rsid w:val="002B68C3"/>
    <w:rsid w:val="002D0FF9"/>
    <w:rsid w:val="002D4E8D"/>
    <w:rsid w:val="002E4B9C"/>
    <w:rsid w:val="002E72BE"/>
    <w:rsid w:val="00300317"/>
    <w:rsid w:val="00301C1B"/>
    <w:rsid w:val="00303C5B"/>
    <w:rsid w:val="00360488"/>
    <w:rsid w:val="00373C16"/>
    <w:rsid w:val="00380F19"/>
    <w:rsid w:val="0038384B"/>
    <w:rsid w:val="00397550"/>
    <w:rsid w:val="003975FB"/>
    <w:rsid w:val="003C1756"/>
    <w:rsid w:val="003D1299"/>
    <w:rsid w:val="003E1781"/>
    <w:rsid w:val="004206A7"/>
    <w:rsid w:val="00424C7F"/>
    <w:rsid w:val="00460EB3"/>
    <w:rsid w:val="00484815"/>
    <w:rsid w:val="00496F66"/>
    <w:rsid w:val="004A78A4"/>
    <w:rsid w:val="004C15E9"/>
    <w:rsid w:val="004C5EF8"/>
    <w:rsid w:val="004E03CC"/>
    <w:rsid w:val="00512D1B"/>
    <w:rsid w:val="00512F85"/>
    <w:rsid w:val="00542EB3"/>
    <w:rsid w:val="00553728"/>
    <w:rsid w:val="00584BDD"/>
    <w:rsid w:val="00586CFF"/>
    <w:rsid w:val="00590230"/>
    <w:rsid w:val="005A5EF0"/>
    <w:rsid w:val="005D56F8"/>
    <w:rsid w:val="005E4FAD"/>
    <w:rsid w:val="00606589"/>
    <w:rsid w:val="00637EFF"/>
    <w:rsid w:val="00691B06"/>
    <w:rsid w:val="0069397B"/>
    <w:rsid w:val="006A7E35"/>
    <w:rsid w:val="006B3EDC"/>
    <w:rsid w:val="006F1DE3"/>
    <w:rsid w:val="007314A6"/>
    <w:rsid w:val="007360A0"/>
    <w:rsid w:val="00762182"/>
    <w:rsid w:val="0077403E"/>
    <w:rsid w:val="00782EA6"/>
    <w:rsid w:val="00786F75"/>
    <w:rsid w:val="007B0674"/>
    <w:rsid w:val="007C2AE7"/>
    <w:rsid w:val="007D07CB"/>
    <w:rsid w:val="007E15A8"/>
    <w:rsid w:val="00802FC1"/>
    <w:rsid w:val="00815EFE"/>
    <w:rsid w:val="008328DD"/>
    <w:rsid w:val="00833BD4"/>
    <w:rsid w:val="008577E9"/>
    <w:rsid w:val="008633EE"/>
    <w:rsid w:val="008820A9"/>
    <w:rsid w:val="00890780"/>
    <w:rsid w:val="008C1409"/>
    <w:rsid w:val="008C7AAA"/>
    <w:rsid w:val="008D3A21"/>
    <w:rsid w:val="008D59A5"/>
    <w:rsid w:val="008F6101"/>
    <w:rsid w:val="009162B9"/>
    <w:rsid w:val="00922C3A"/>
    <w:rsid w:val="009324B0"/>
    <w:rsid w:val="00936DB9"/>
    <w:rsid w:val="00952B37"/>
    <w:rsid w:val="009534DA"/>
    <w:rsid w:val="00955B00"/>
    <w:rsid w:val="009642CB"/>
    <w:rsid w:val="00966F2F"/>
    <w:rsid w:val="009A21EA"/>
    <w:rsid w:val="009A7CC2"/>
    <w:rsid w:val="009C4571"/>
    <w:rsid w:val="00A020C9"/>
    <w:rsid w:val="00A57B88"/>
    <w:rsid w:val="00A7138C"/>
    <w:rsid w:val="00A82992"/>
    <w:rsid w:val="00AB6F86"/>
    <w:rsid w:val="00AC4F8A"/>
    <w:rsid w:val="00AD2873"/>
    <w:rsid w:val="00AF4DED"/>
    <w:rsid w:val="00B02838"/>
    <w:rsid w:val="00B07C3E"/>
    <w:rsid w:val="00B21CBA"/>
    <w:rsid w:val="00B30E38"/>
    <w:rsid w:val="00B72990"/>
    <w:rsid w:val="00B77EB3"/>
    <w:rsid w:val="00BA42A0"/>
    <w:rsid w:val="00BC7D84"/>
    <w:rsid w:val="00BE2304"/>
    <w:rsid w:val="00C20EBC"/>
    <w:rsid w:val="00C22B4A"/>
    <w:rsid w:val="00C53A1A"/>
    <w:rsid w:val="00C67C10"/>
    <w:rsid w:val="00C812C6"/>
    <w:rsid w:val="00C9360C"/>
    <w:rsid w:val="00C96A99"/>
    <w:rsid w:val="00C96DAC"/>
    <w:rsid w:val="00CA49BF"/>
    <w:rsid w:val="00CB10B5"/>
    <w:rsid w:val="00CB12BC"/>
    <w:rsid w:val="00CE53B1"/>
    <w:rsid w:val="00D01027"/>
    <w:rsid w:val="00D36DF7"/>
    <w:rsid w:val="00D87D51"/>
    <w:rsid w:val="00DC19F1"/>
    <w:rsid w:val="00DD6AE3"/>
    <w:rsid w:val="00E5237B"/>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5466C"/>
    <w:rsid w:val="00F60135"/>
    <w:rsid w:val="00F706D7"/>
    <w:rsid w:val="00F72FFE"/>
    <w:rsid w:val="00F91348"/>
    <w:rsid w:val="00F95EF5"/>
    <w:rsid w:val="00FB29D1"/>
    <w:rsid w:val="00FB4465"/>
    <w:rsid w:val="00FC2B8D"/>
    <w:rsid w:val="00FC55EE"/>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C9D"/>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 w:type="paragraph" w:customStyle="1" w:styleId="Default">
    <w:name w:val="Default"/>
    <w:rsid w:val="005A5EF0"/>
    <w:pPr>
      <w:suppressAutoHyphens/>
      <w:autoSpaceDE w:val="0"/>
      <w:spacing w:after="0" w:line="240" w:lineRule="auto"/>
    </w:pPr>
    <w:rPr>
      <w:rFonts w:ascii="Times New Roman" w:eastAsia="Times New Roman" w:hAnsi="Times New Roman" w:cs="Times New Roman"/>
      <w:color w:val="000000"/>
      <w:kern w:val="0"/>
      <w:sz w:val="24"/>
      <w:szCs w:val="24"/>
      <w:lang w:val="uk-UA" w:eastAsia="zh-CN"/>
      <w14:ligatures w14:val="none"/>
    </w:rPr>
  </w:style>
  <w:style w:type="character" w:styleId="a9">
    <w:name w:val="Strong"/>
    <w:uiPriority w:val="22"/>
    <w:qFormat/>
    <w:rsid w:val="00F5466C"/>
    <w:rPr>
      <w:b/>
      <w:bCs/>
    </w:rPr>
  </w:style>
  <w:style w:type="character" w:customStyle="1" w:styleId="fontstyle01">
    <w:name w:val="fontstyle01"/>
    <w:rsid w:val="008F610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ap_mirgorod@ukr.net" TargetMode="External"/><Relationship Id="rId3" Type="http://schemas.openxmlformats.org/officeDocument/2006/relationships/settings" Target="settings.xml"/><Relationship Id="rId7" Type="http://schemas.openxmlformats.org/officeDocument/2006/relationships/hyperlink" Target="https://zakon.rada.gov.ua/laws/show/333-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2024-06-03T13:28:00Z</dcterms:created>
  <dcterms:modified xsi:type="dcterms:W3CDTF">2024-06-03T13:28:00Z</dcterms:modified>
</cp:coreProperties>
</file>